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eastAsia="" w:eastAsiaTheme="minorEastAsia"/>
          <w:b/>
          <w:lang w:eastAsia="cs-CZ"/>
        </w:rPr>
        <w:t>Kritéria přijetí na Praktickou školu dvouletou</w:t>
      </w:r>
    </w:p>
    <w:p>
      <w:pPr>
        <w:pStyle w:val="Normal"/>
        <w:spacing w:lineRule="auto" w:line="240" w:before="0" w:after="0"/>
        <w:rPr>
          <w:rFonts w:eastAsia="" w:eastAsiaTheme="minorEastAsia"/>
          <w:lang w:eastAsia="cs-CZ"/>
        </w:rPr>
      </w:pPr>
      <w:r>
        <w:rPr>
          <w:rFonts w:eastAsia="" w:eastAsiaTheme="minorEastAsia"/>
          <w:lang w:eastAsia="cs-CZ"/>
        </w:rPr>
      </w:r>
    </w:p>
    <w:p>
      <w:pPr>
        <w:pStyle w:val="Normal"/>
        <w:spacing w:lineRule="auto" w:line="240" w:before="0" w:after="0"/>
        <w:ind w:left="708" w:hanging="348"/>
        <w:rPr/>
      </w:pPr>
      <w:r>
        <w:rPr>
          <w:rFonts w:eastAsia="" w:eastAsiaTheme="minorEastAsia"/>
          <w:lang w:eastAsia="cs-CZ"/>
        </w:rPr>
        <w:t>•</w:t>
      </w:r>
      <w:r>
        <w:rPr>
          <w:rFonts w:eastAsia="" w:eastAsiaTheme="minorEastAsia"/>
          <w:lang w:eastAsia="cs-CZ"/>
        </w:rPr>
        <w:tab/>
        <w:t>Ukončená povinná školní docházka v základní škole samostatně zřízené  podle § 16 odstavce 9  Školského zákona pro žáky se zdravotním postižením.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eastAsia="" w:eastAsiaTheme="minorEastAsia"/>
          <w:lang w:eastAsia="cs-CZ"/>
        </w:rPr>
      </w:pPr>
      <w:r>
        <w:rPr>
          <w:rFonts w:eastAsia="" w:eastAsiaTheme="minorEastAsia"/>
          <w:lang w:eastAsia="cs-CZ"/>
        </w:rPr>
        <w:t>Ukončená povinná školní docházka na Základní škole, žák je individuálně integrován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eastAsia="" w:eastAsiaTheme="minorEastAsia"/>
          <w:lang w:eastAsia="cs-CZ"/>
        </w:rPr>
      </w:pPr>
      <w:r>
        <w:rPr>
          <w:rFonts w:eastAsia="" w:eastAsiaTheme="minorEastAsia"/>
          <w:lang w:eastAsia="cs-CZ"/>
        </w:rPr>
        <w:t xml:space="preserve">Řádně vyplněná přihláška a písemná žádost zletilého žáka nebo zákonného zástupce žáka, doporučení školského poradenského zařízení  žáka pro zařazení do vzdělávání podle §16 odst. 9 zákona 561/2004 Sb. a další předpoklady ke vzdělávání na Praktické škole dvouleté </w:t>
      </w:r>
    </w:p>
    <w:p>
      <w:pPr>
        <w:pStyle w:val="Normal"/>
        <w:spacing w:lineRule="auto" w:line="240" w:before="0" w:after="0"/>
        <w:ind w:firstLine="360"/>
        <w:rPr>
          <w:rFonts w:eastAsia="" w:eastAsiaTheme="minorEastAsia"/>
          <w:lang w:eastAsia="cs-CZ"/>
        </w:rPr>
      </w:pPr>
      <w:r>
        <w:rPr>
          <w:rFonts w:eastAsia="" w:eastAsiaTheme="minorEastAsia"/>
          <w:lang w:eastAsia="cs-CZ"/>
        </w:rPr>
        <w:t>•</w:t>
      </w:r>
      <w:r>
        <w:rPr>
          <w:rFonts w:eastAsia="" w:eastAsiaTheme="minorEastAsia"/>
          <w:lang w:eastAsia="cs-CZ"/>
        </w:rPr>
        <w:tab/>
        <w:t>Doložená zdravotní způsobilost lékařem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eastAsia="" w:eastAsiaTheme="minorEastAsia"/>
          <w:lang w:eastAsia="cs-CZ"/>
        </w:rPr>
      </w:pPr>
      <w:r>
        <w:rPr>
          <w:rFonts w:eastAsia="" w:eastAsiaTheme="minorEastAsia"/>
          <w:lang w:eastAsia="cs-CZ"/>
        </w:rPr>
        <w:t>Absolvování přijímacího pohovoru (motivace k dalšímu vzdělávání)</w:t>
      </w:r>
    </w:p>
    <w:p>
      <w:pPr>
        <w:pStyle w:val="Normal"/>
        <w:spacing w:lineRule="auto" w:line="240" w:before="0" w:after="0"/>
        <w:ind w:firstLine="360"/>
        <w:rPr>
          <w:rFonts w:eastAsia="" w:eastAsiaTheme="minorEastAsia"/>
          <w:lang w:eastAsia="cs-CZ"/>
        </w:rPr>
      </w:pPr>
      <w:r>
        <w:rPr>
          <w:rFonts w:eastAsia="" w:eastAsiaTheme="minorEastAsia"/>
          <w:lang w:eastAsia="cs-CZ"/>
        </w:rPr>
        <w:t>•</w:t>
      </w:r>
      <w:r>
        <w:rPr>
          <w:rFonts w:eastAsia="" w:eastAsiaTheme="minorEastAsia"/>
          <w:lang w:eastAsia="cs-CZ"/>
        </w:rPr>
        <w:tab/>
        <w:t>Schopnost a motivace uchazeče se zúčastnit pracovních  praxí v rámci přípravy na zaměstnání</w:t>
      </w:r>
    </w:p>
    <w:p>
      <w:pPr>
        <w:pStyle w:val="Normal"/>
        <w:spacing w:lineRule="auto" w:line="240" w:before="0" w:after="0"/>
        <w:ind w:firstLine="360"/>
        <w:rPr>
          <w:rFonts w:eastAsia="" w:eastAsiaTheme="minorEastAsia"/>
          <w:lang w:eastAsia="cs-CZ"/>
        </w:rPr>
      </w:pPr>
      <w:r>
        <w:rPr>
          <w:rFonts w:eastAsia="" w:eastAsiaTheme="minorEastAsia"/>
          <w:lang w:eastAsia="cs-CZ"/>
        </w:rPr>
        <w:t>•</w:t>
      </w:r>
      <w:r>
        <w:rPr>
          <w:rFonts w:eastAsia="" w:eastAsiaTheme="minorEastAsia"/>
          <w:lang w:eastAsia="cs-CZ"/>
        </w:rPr>
        <w:tab/>
        <w:t>Věk v roce konání přijímacích pohovorů do 26 let</w:t>
      </w:r>
    </w:p>
    <w:p>
      <w:pPr>
        <w:pStyle w:val="Normal"/>
        <w:spacing w:lineRule="auto" w:line="240" w:before="0" w:after="0"/>
        <w:rPr>
          <w:rFonts w:eastAsia="" w:eastAsiaTheme="minorEastAsia"/>
          <w:b/>
          <w:b/>
          <w:lang w:eastAsia="cs-CZ"/>
        </w:rPr>
      </w:pPr>
      <w:r>
        <w:rPr>
          <w:rFonts w:eastAsia="" w:eastAsiaTheme="minorEastAsia"/>
          <w:b/>
          <w:lang w:eastAsia="cs-CZ"/>
        </w:rPr>
      </w:r>
    </w:p>
    <w:p>
      <w:pPr>
        <w:pStyle w:val="Normal"/>
        <w:spacing w:lineRule="auto" w:line="240" w:before="0" w:after="0"/>
        <w:ind w:left="708" w:hanging="348"/>
        <w:rPr>
          <w:rFonts w:eastAsia="" w:eastAsiaTheme="minorEastAsia"/>
          <w:lang w:eastAsia="cs-CZ"/>
        </w:rPr>
      </w:pPr>
      <w:r>
        <w:rPr>
          <w:rFonts w:eastAsia="" w:eastAsiaTheme="minorEastAsia"/>
          <w:lang w:eastAsia="cs-CZ"/>
        </w:rPr>
      </w:r>
    </w:p>
    <w:p>
      <w:pPr>
        <w:pStyle w:val="Normal"/>
        <w:spacing w:lineRule="auto" w:line="240" w:before="0" w:after="0"/>
        <w:ind w:left="708" w:hanging="348"/>
        <w:rPr>
          <w:rFonts w:eastAsia="" w:eastAsiaTheme="minorEastAsia"/>
          <w:lang w:eastAsia="cs-CZ"/>
        </w:rPr>
      </w:pPr>
      <w:r>
        <w:rPr>
          <w:rFonts w:eastAsia="" w:eastAsiaTheme="minorEastAsia"/>
          <w:lang w:eastAsia="cs-CZ"/>
        </w:rPr>
        <w:t>Přijímací pohovory probíhají společný s rodiči–motivace ke vzdělávání a zapojení se do praxí- přípravy na zaměstnání.</w:t>
      </w:r>
    </w:p>
    <w:p>
      <w:pPr>
        <w:pStyle w:val="Normal"/>
        <w:spacing w:lineRule="auto" w:line="240" w:before="0" w:after="0"/>
        <w:ind w:left="708" w:hanging="348"/>
        <w:rPr>
          <w:rFonts w:eastAsia="" w:eastAsiaTheme="minorEastAsia"/>
          <w:lang w:eastAsia="cs-CZ"/>
        </w:rPr>
      </w:pPr>
      <w:r>
        <w:rPr>
          <w:rFonts w:eastAsia="" w:eastAsiaTheme="minorEastAsia"/>
          <w:lang w:eastAsia="cs-CZ"/>
        </w:rPr>
        <w:t>Přijímací řízení bude probíhat dne 20.4.2022.</w:t>
      </w:r>
    </w:p>
    <w:p>
      <w:pPr>
        <w:pStyle w:val="Normal"/>
        <w:spacing w:lineRule="auto" w:line="240" w:before="0" w:after="0"/>
        <w:ind w:left="708" w:hanging="348"/>
        <w:rPr>
          <w:rFonts w:eastAsia="" w:eastAsiaTheme="minorEastAsia"/>
          <w:lang w:eastAsia="cs-CZ"/>
        </w:rPr>
      </w:pPr>
      <w:r>
        <w:rPr>
          <w:rFonts w:eastAsia="" w:eastAsiaTheme="minorEastAsia"/>
          <w:lang w:eastAsia="cs-CZ"/>
        </w:rPr>
      </w:r>
    </w:p>
    <w:p>
      <w:pPr>
        <w:pStyle w:val="Normal"/>
        <w:spacing w:lineRule="auto" w:line="240" w:before="0" w:after="0"/>
        <w:ind w:left="708" w:hanging="348"/>
        <w:rPr/>
      </w:pPr>
      <w:r>
        <w:rPr>
          <w:rFonts w:eastAsia="" w:eastAsiaTheme="minorEastAsia"/>
          <w:b/>
          <w:lang w:eastAsia="cs-CZ"/>
        </w:rPr>
        <w:t>Předpokládaný počet uchazečů přijatých na školní rok 2022/2023 je 5.</w:t>
      </w:r>
    </w:p>
    <w:p>
      <w:pPr>
        <w:pStyle w:val="NormalWeb"/>
        <w:rPr/>
      </w:pPr>
      <w:r>
        <w:rPr>
          <w:rStyle w:val="Strong"/>
          <w:rFonts w:cs="Calibri" w:ascii="Calibri" w:hAnsi="Calibri" w:asciiTheme="minorHAnsi" w:cstheme="minorHAnsi" w:hAnsiTheme="minorHAnsi"/>
          <w:color w:val="000000"/>
          <w:sz w:val="22"/>
          <w:szCs w:val="21"/>
        </w:rPr>
        <w:t>POZVÁNKA K PŘIJÍMACÍMU POHOVORU</w:t>
      </w:r>
    </w:p>
    <w:p>
      <w:pPr>
        <w:pStyle w:val="NormalWeb"/>
        <w:rPr/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1"/>
        </w:rPr>
        <w:t xml:space="preserve">Pozvánku k individuálnímu přijímacímu pohovoru v prvním kole přijímacího řízení zašle ředitel školy uchazeči nejpozději </w:t>
      </w:r>
      <w:r>
        <w:rPr>
          <w:rStyle w:val="Strong"/>
          <w:rFonts w:cs="Calibri" w:ascii="Calibri" w:hAnsi="Calibri" w:asciiTheme="minorHAnsi" w:cstheme="minorHAnsi" w:hAnsiTheme="minorHAnsi"/>
          <w:color w:val="000000"/>
          <w:sz w:val="22"/>
          <w:szCs w:val="21"/>
        </w:rPr>
        <w:t xml:space="preserve">14 dní </w:t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1"/>
        </w:rPr>
        <w:t>před termínem konání.</w:t>
      </w:r>
    </w:p>
    <w:p>
      <w:pPr>
        <w:pStyle w:val="NormalWeb"/>
        <w:rPr/>
      </w:pPr>
      <w:r>
        <w:rPr>
          <w:rStyle w:val="Strong"/>
          <w:rFonts w:cs="Calibri" w:ascii="Calibri" w:hAnsi="Calibri" w:asciiTheme="minorHAnsi" w:cstheme="minorHAnsi" w:hAnsiTheme="minorHAnsi"/>
          <w:color w:val="000000"/>
          <w:sz w:val="22"/>
          <w:szCs w:val="21"/>
        </w:rPr>
        <w:t>ÚPRAVA PODMÍNEK UCHAZEČŮM SE SVP</w:t>
      </w:r>
    </w:p>
    <w:p>
      <w:pPr>
        <w:pStyle w:val="NormalWeb"/>
        <w:rPr>
          <w:rFonts w:ascii="Calibri" w:hAnsi="Calibri" w:cs="Calibri" w:asciiTheme="minorHAnsi" w:cstheme="minorHAnsi" w:hAnsiTheme="minorHAnsi"/>
          <w:color w:val="000000"/>
          <w:sz w:val="22"/>
          <w:szCs w:val="21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1"/>
        </w:rPr>
        <w:t xml:space="preserve">Ředitel školy upraví uchazeči se speciálními vzdělávacími potřebami podmínky v přijímacím řízení </w:t>
      </w:r>
      <w:r>
        <w:rPr>
          <w:rStyle w:val="Strong"/>
          <w:rFonts w:cs="Calibri" w:ascii="Calibri" w:hAnsi="Calibri" w:asciiTheme="minorHAnsi" w:cstheme="minorHAnsi" w:hAnsiTheme="minorHAnsi"/>
          <w:color w:val="000000"/>
          <w:sz w:val="22"/>
          <w:szCs w:val="21"/>
        </w:rPr>
        <w:t>podle doporučení školského poradenského zařízení.</w:t>
      </w:r>
    </w:p>
    <w:p>
      <w:pPr>
        <w:pStyle w:val="NormalWeb"/>
        <w:rPr>
          <w:rFonts w:ascii="Calibri" w:hAnsi="Calibri" w:cs="Calibri" w:asciiTheme="minorHAnsi" w:cstheme="minorHAnsi" w:hAnsiTheme="minorHAnsi"/>
          <w:color w:val="000000"/>
          <w:sz w:val="22"/>
          <w:szCs w:val="21"/>
        </w:rPr>
      </w:pPr>
      <w:r>
        <w:rPr>
          <w:rStyle w:val="Strong"/>
          <w:rFonts w:cs="Calibri" w:ascii="Calibri" w:hAnsi="Calibri" w:asciiTheme="minorHAnsi" w:cstheme="minorHAnsi" w:hAnsiTheme="minorHAnsi"/>
          <w:color w:val="000000"/>
          <w:sz w:val="22"/>
          <w:szCs w:val="21"/>
        </w:rPr>
        <w:t>ROZHODNUTÍ</w:t>
      </w:r>
    </w:p>
    <w:p>
      <w:pPr>
        <w:pStyle w:val="NormalWeb"/>
        <w:spacing w:before="0" w:after="0"/>
        <w:rPr/>
      </w:pPr>
      <w:r>
        <w:rPr>
          <w:rStyle w:val="Strong"/>
          <w:rFonts w:cs="Calibri" w:ascii="Calibri" w:hAnsi="Calibri" w:asciiTheme="minorHAnsi" w:cstheme="minorHAnsi" w:hAnsiTheme="minorHAnsi"/>
          <w:color w:val="000000"/>
          <w:sz w:val="22"/>
          <w:szCs w:val="21"/>
        </w:rPr>
        <w:t>Písemné rozhodnutí ředitele obdrží uchazeči doporučenou poštou.</w:t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1"/>
        </w:rPr>
        <w:br/>
        <w:t>Výsledky přijímacího řízení zveřejní ředitelka školy na webové stránky školy, dne 21.4.2022.</w:t>
        <w:br/>
        <w:t>Výsledky přijímacího řízení jsou zveřejněny v anonymizované podobě – každý uchazeč má přiděleno své číslo. Seznam přijatých a nepřijatých uchazečů je zveřejněn do tří pracovních dnů po dni konání přijímacího řízení.</w:t>
      </w:r>
    </w:p>
    <w:p>
      <w:pPr>
        <w:pStyle w:val="NormalWeb"/>
        <w:spacing w:before="0" w:after="0"/>
        <w:rPr/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1"/>
        </w:rPr>
        <w:t>Přednostně budou přijati uchazeči, kteří právě ukončili ZŠ.</w:t>
      </w:r>
    </w:p>
    <w:p>
      <w:pPr>
        <w:pStyle w:val="NormalWeb"/>
        <w:rPr>
          <w:rFonts w:ascii="Calibri" w:hAnsi="Calibri" w:cs="Calibri" w:asciiTheme="minorHAnsi" w:cstheme="minorHAnsi" w:hAnsiTheme="minorHAnsi"/>
          <w:color w:val="000000"/>
          <w:sz w:val="22"/>
          <w:szCs w:val="21"/>
        </w:rPr>
      </w:pPr>
      <w:r>
        <w:rPr>
          <w:rStyle w:val="Strong"/>
          <w:rFonts w:cs="Calibri" w:ascii="Calibri" w:hAnsi="Calibri" w:asciiTheme="minorHAnsi" w:cstheme="minorHAnsi" w:hAnsiTheme="minorHAnsi"/>
          <w:color w:val="000000"/>
          <w:sz w:val="22"/>
          <w:szCs w:val="21"/>
        </w:rPr>
        <w:t>ODVOLÁNÍ</w:t>
      </w:r>
    </w:p>
    <w:p>
      <w:pPr>
        <w:pStyle w:val="NormalWeb"/>
        <w:rPr>
          <w:rFonts w:ascii="Calibri" w:hAnsi="Calibri" w:cs="Calibri" w:asciiTheme="minorHAnsi" w:cstheme="minorHAnsi" w:hAnsiTheme="minorHAnsi"/>
          <w:color w:val="000000"/>
          <w:sz w:val="22"/>
          <w:szCs w:val="21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1"/>
        </w:rPr>
        <w:t xml:space="preserve">Odvolání uchazeče proti rozhodnutí ředitele školy o výsledku přijímacího řízení lze podat ve lhůtě </w:t>
        <w:br/>
      </w:r>
      <w:r>
        <w:rPr>
          <w:rStyle w:val="Strong"/>
          <w:rFonts w:cs="Calibri" w:ascii="Calibri" w:hAnsi="Calibri" w:asciiTheme="minorHAnsi" w:cstheme="minorHAnsi" w:hAnsiTheme="minorHAnsi"/>
          <w:color w:val="000000"/>
          <w:sz w:val="22"/>
          <w:szCs w:val="21"/>
        </w:rPr>
        <w:t>3 pracovních dnů ode dne doručení rozhodnutí.</w:t>
      </w:r>
    </w:p>
    <w:p>
      <w:pPr>
        <w:pStyle w:val="NormalWeb"/>
        <w:rPr>
          <w:rStyle w:val="Strong"/>
          <w:rFonts w:ascii="Calibri" w:hAnsi="Calibri" w:cs="Calibri" w:asciiTheme="minorHAnsi" w:cstheme="minorHAnsi" w:hAnsiTheme="minorHAnsi"/>
          <w:color w:val="000000"/>
          <w:sz w:val="22"/>
          <w:szCs w:val="21"/>
        </w:rPr>
      </w:pPr>
      <w:r>
        <w:rPr>
          <w:rFonts w:cs="Calibri" w:cstheme="minorHAnsi" w:ascii="Calibri" w:hAnsi="Calibri"/>
          <w:color w:val="000000"/>
          <w:sz w:val="22"/>
          <w:szCs w:val="21"/>
        </w:rPr>
      </w:r>
    </w:p>
    <w:p>
      <w:pPr>
        <w:pStyle w:val="NormalWeb"/>
        <w:rPr>
          <w:rStyle w:val="Strong"/>
          <w:rFonts w:ascii="Calibri" w:hAnsi="Calibri" w:cs="Calibri" w:asciiTheme="minorHAnsi" w:cstheme="minorHAnsi" w:hAnsiTheme="minorHAnsi"/>
          <w:color w:val="000000"/>
          <w:sz w:val="22"/>
          <w:szCs w:val="21"/>
        </w:rPr>
      </w:pPr>
      <w:r>
        <w:rPr>
          <w:rFonts w:cs="Calibri" w:cstheme="minorHAnsi" w:ascii="Calibri" w:hAnsi="Calibri"/>
          <w:color w:val="000000"/>
          <w:sz w:val="22"/>
          <w:szCs w:val="21"/>
        </w:rPr>
      </w:r>
      <w:r>
        <w:br w:type="page"/>
      </w:r>
    </w:p>
    <w:p>
      <w:pPr>
        <w:pStyle w:val="NormalWeb"/>
        <w:rPr/>
      </w:pPr>
      <w:r>
        <w:rPr>
          <w:rStyle w:val="Strong"/>
          <w:rFonts w:cs="Calibri" w:ascii="Calibri" w:hAnsi="Calibri" w:asciiTheme="minorHAnsi" w:cstheme="minorHAnsi" w:hAnsiTheme="minorHAnsi"/>
          <w:color w:val="000000"/>
          <w:sz w:val="22"/>
          <w:szCs w:val="21"/>
        </w:rPr>
        <w:t>ZÁPISOVÝ LÍSTEK</w:t>
      </w:r>
    </w:p>
    <w:p>
      <w:pPr>
        <w:pStyle w:val="NormalWeb"/>
        <w:rPr>
          <w:rFonts w:ascii="Calibri" w:hAnsi="Calibri" w:cs="Calibri" w:asciiTheme="minorHAnsi" w:cstheme="minorHAnsi" w:hAnsiTheme="minorHAnsi"/>
          <w:color w:val="000000"/>
          <w:sz w:val="22"/>
          <w:szCs w:val="21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1"/>
        </w:rPr>
        <w:t>K potvrzení úmyslu uchazeče stát se žákem příslušného oboru vzdělání v dané škole slouží zápisový lístek.</w:t>
        <w:br/>
        <w:t>1.     Uchazeč, který je žákem základní školy, obdrží zápisový lístek v této základní škole.</w:t>
        <w:br/>
        <w:t xml:space="preserve">2.     V ostatních případech vydá na žádost uchazeče nebo jeho zákonného zástupce zápisový lístek </w:t>
      </w:r>
      <w:r>
        <w:rPr>
          <w:rStyle w:val="Strong"/>
          <w:rFonts w:cs="Calibri" w:ascii="Calibri" w:hAnsi="Calibri" w:asciiTheme="minorHAnsi" w:cstheme="minorHAnsi" w:hAnsiTheme="minorHAnsi"/>
          <w:color w:val="000000"/>
          <w:sz w:val="22"/>
          <w:szCs w:val="21"/>
        </w:rPr>
        <w:t>odbor školství krajského úřadu příslušného podle místa trvalého pobytu. To se týká většinou uchazečů, kteří absolvují obor na střední škole a hlásí se na další.</w:t>
      </w:r>
    </w:p>
    <w:p>
      <w:pPr>
        <w:pStyle w:val="NormalWeb"/>
        <w:rPr>
          <w:rFonts w:ascii="Calibri" w:hAnsi="Calibri" w:cs="Calibri" w:asciiTheme="minorHAnsi" w:cstheme="minorHAnsi" w:hAnsiTheme="minorHAnsi"/>
          <w:color w:val="000000"/>
          <w:sz w:val="22"/>
          <w:szCs w:val="21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1"/>
        </w:rPr>
        <w:t xml:space="preserve">Svůj úmysl vzdělávat se v dané střední škole potvrdí uchazeč odevzdáním zápisového lístku řediteli školy, a to nejpozději </w:t>
      </w:r>
      <w:r>
        <w:rPr>
          <w:rStyle w:val="Strong"/>
          <w:rFonts w:cs="Calibri" w:ascii="Calibri" w:hAnsi="Calibri" w:asciiTheme="minorHAnsi" w:cstheme="minorHAnsi" w:hAnsiTheme="minorHAnsi"/>
          <w:color w:val="000000"/>
          <w:sz w:val="22"/>
          <w:szCs w:val="21"/>
        </w:rPr>
        <w:t>do 10 pracovních dnů</w:t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1"/>
        </w:rPr>
        <w:t xml:space="preserve"> ode dne oznámení rozhodnutí. Zápisový lístek se považuje včas za odevzdaný, pokud byl v této lhůtě předán provozovateli poštovních služeb. </w:t>
      </w:r>
    </w:p>
    <w:p>
      <w:pPr>
        <w:pStyle w:val="Normal"/>
        <w:spacing w:lineRule="auto" w:line="240" w:before="0" w:after="0"/>
        <w:ind w:left="708" w:hanging="348"/>
        <w:rPr>
          <w:rFonts w:eastAsia="" w:cs="Calibri" w:cstheme="minorHAnsi" w:eastAsiaTheme="minorEastAsia"/>
          <w:sz w:val="24"/>
          <w:lang w:eastAsia="cs-CZ"/>
        </w:rPr>
      </w:pPr>
      <w:r>
        <w:rPr>
          <w:rFonts w:eastAsia="" w:cs="Calibri" w:cstheme="minorHAnsi" w:eastAsiaTheme="minorEastAsia"/>
          <w:sz w:val="24"/>
          <w:lang w:eastAsia="cs-CZ"/>
        </w:rPr>
      </w:r>
    </w:p>
    <w:p>
      <w:pPr>
        <w:pStyle w:val="Normal"/>
        <w:spacing w:lineRule="auto" w:line="240" w:before="0" w:after="0"/>
        <w:rPr>
          <w:rFonts w:eastAsia="" w:cs="Calibri" w:cstheme="minorHAnsi" w:eastAsiaTheme="minorEastAsia"/>
          <w:sz w:val="24"/>
          <w:lang w:eastAsia="cs-CZ"/>
        </w:rPr>
      </w:pPr>
      <w:r>
        <w:rPr>
          <w:rFonts w:eastAsia="" w:cs="Calibri" w:cstheme="minorHAnsi" w:eastAsiaTheme="minorEastAsia"/>
          <w:sz w:val="24"/>
          <w:lang w:eastAsia="cs-CZ"/>
        </w:rPr>
      </w:r>
    </w:p>
    <w:p>
      <w:pPr>
        <w:pStyle w:val="Normal"/>
        <w:shd w:val="clear" w:color="auto" w:fill="F7F6F6"/>
        <w:spacing w:lineRule="atLeast" w:line="360" w:before="0" w:after="0"/>
        <w:rPr>
          <w:rFonts w:eastAsia="Times New Roman" w:cs="Calibri" w:cstheme="minorHAnsi"/>
          <w:b/>
          <w:b/>
          <w:color w:val="333333"/>
          <w:sz w:val="24"/>
          <w:lang w:eastAsia="cs-CZ"/>
        </w:rPr>
      </w:pPr>
      <w:r>
        <w:rPr>
          <w:rFonts w:eastAsia="Times New Roman" w:cs="Calibri" w:cstheme="minorHAnsi"/>
          <w:b/>
          <w:color w:val="333333"/>
          <w:sz w:val="24"/>
          <w:lang w:eastAsia="cs-CZ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50b04"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5e6fa1"/>
    <w:rPr>
      <w:b/>
      <w:bCs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alibri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alibri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alibri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Calibri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cs="Calibri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cs="Calibri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alibri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Wingdings"/>
    </w:rPr>
  </w:style>
  <w:style w:type="character" w:styleId="ListLabel40" w:customStyle="1">
    <w:name w:val="ListLabel 40"/>
    <w:qFormat/>
    <w:rPr>
      <w:rFonts w:cs="Symbo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Wingdings"/>
    </w:rPr>
  </w:style>
  <w:style w:type="character" w:styleId="ListLabel43" w:customStyle="1">
    <w:name w:val="ListLabel 43"/>
    <w:qFormat/>
    <w:rPr>
      <w:rFonts w:cs="Symbol"/>
    </w:rPr>
  </w:style>
  <w:style w:type="character" w:styleId="ListLabel44" w:customStyle="1">
    <w:name w:val="ListLabel 44"/>
    <w:qFormat/>
    <w:rPr>
      <w:rFonts w:cs="Courier New"/>
    </w:rPr>
  </w:style>
  <w:style w:type="character" w:styleId="ListLabel45" w:customStyle="1">
    <w:name w:val="ListLabel 45"/>
    <w:qFormat/>
    <w:rPr>
      <w:rFonts w:cs="Wingdings"/>
    </w:rPr>
  </w:style>
  <w:style w:type="character" w:styleId="ListLabel46" w:customStyle="1">
    <w:name w:val="ListLabel 46"/>
    <w:qFormat/>
    <w:rPr>
      <w:rFonts w:cs="Symbol"/>
    </w:rPr>
  </w:style>
  <w:style w:type="character" w:styleId="ListLabel47" w:customStyle="1">
    <w:name w:val="ListLabel 47"/>
    <w:qFormat/>
    <w:rPr>
      <w:rFonts w:cs="Courier New"/>
    </w:rPr>
  </w:style>
  <w:style w:type="character" w:styleId="ListLabel48" w:customStyle="1">
    <w:name w:val="ListLabel 48"/>
    <w:qFormat/>
    <w:rPr>
      <w:rFonts w:cs="Wingdings"/>
    </w:rPr>
  </w:style>
  <w:style w:type="character" w:styleId="ListLabel49" w:customStyle="1">
    <w:name w:val="ListLabel 49"/>
    <w:qFormat/>
    <w:rPr>
      <w:rFonts w:cs="Symbol"/>
    </w:rPr>
  </w:style>
  <w:style w:type="character" w:styleId="ListLabel50" w:customStyle="1">
    <w:name w:val="ListLabel 50"/>
    <w:qFormat/>
    <w:rPr>
      <w:rFonts w:cs="Courier New"/>
    </w:rPr>
  </w:style>
  <w:style w:type="character" w:styleId="ListLabel51" w:customStyle="1">
    <w:name w:val="ListLabel 51"/>
    <w:qFormat/>
    <w:rPr>
      <w:rFonts w:cs="Wingdings"/>
    </w:rPr>
  </w:style>
  <w:style w:type="character" w:styleId="ListLabel52" w:customStyle="1">
    <w:name w:val="ListLabel 52"/>
    <w:qFormat/>
    <w:rPr>
      <w:rFonts w:cs="Symbol"/>
    </w:rPr>
  </w:style>
  <w:style w:type="character" w:styleId="ListLabel53" w:customStyle="1">
    <w:name w:val="ListLabel 53"/>
    <w:qFormat/>
    <w:rPr>
      <w:rFonts w:cs="Courier New"/>
    </w:rPr>
  </w:style>
  <w:style w:type="character" w:styleId="ListLabel54" w:customStyle="1">
    <w:name w:val="ListLabel 54"/>
    <w:qFormat/>
    <w:rPr>
      <w:rFonts w:cs="Wingdings"/>
    </w:rPr>
  </w:style>
  <w:style w:type="character" w:styleId="ListLabel55" w:customStyle="1">
    <w:name w:val="ListLabel 55"/>
    <w:qFormat/>
    <w:rPr>
      <w:rFonts w:cs="Calibri"/>
    </w:rPr>
  </w:style>
  <w:style w:type="character" w:styleId="ListLabel56" w:customStyle="1">
    <w:name w:val="ListLabel 56"/>
    <w:qFormat/>
    <w:rPr>
      <w:rFonts w:cs="Courier New"/>
    </w:rPr>
  </w:style>
  <w:style w:type="character" w:styleId="ListLabel57" w:customStyle="1">
    <w:name w:val="ListLabel 57"/>
    <w:qFormat/>
    <w:rPr>
      <w:rFonts w:cs="Wingdings"/>
    </w:rPr>
  </w:style>
  <w:style w:type="character" w:styleId="ListLabel58" w:customStyle="1">
    <w:name w:val="ListLabel 58"/>
    <w:qFormat/>
    <w:rPr>
      <w:rFonts w:cs="Symbol"/>
    </w:rPr>
  </w:style>
  <w:style w:type="character" w:styleId="ListLabel59" w:customStyle="1">
    <w:name w:val="ListLabel 59"/>
    <w:qFormat/>
    <w:rPr>
      <w:rFonts w:cs="Courier New"/>
    </w:rPr>
  </w:style>
  <w:style w:type="character" w:styleId="ListLabel60" w:customStyle="1">
    <w:name w:val="ListLabel 60"/>
    <w:qFormat/>
    <w:rPr>
      <w:rFonts w:cs="Wingdings"/>
    </w:rPr>
  </w:style>
  <w:style w:type="character" w:styleId="ListLabel61" w:customStyle="1">
    <w:name w:val="ListLabel 61"/>
    <w:qFormat/>
    <w:rPr>
      <w:rFonts w:cs="Symbol"/>
    </w:rPr>
  </w:style>
  <w:style w:type="character" w:styleId="ListLabel62" w:customStyle="1">
    <w:name w:val="ListLabel 62"/>
    <w:qFormat/>
    <w:rPr>
      <w:rFonts w:cs="Courier New"/>
    </w:rPr>
  </w:style>
  <w:style w:type="character" w:styleId="ListLabel63" w:customStyle="1">
    <w:name w:val="ListLabel 63"/>
    <w:qFormat/>
    <w:rPr>
      <w:rFonts w:cs="Wingdings"/>
    </w:rPr>
  </w:style>
  <w:style w:type="character" w:styleId="ListLabel64" w:customStyle="1">
    <w:name w:val="ListLabel 64"/>
    <w:qFormat/>
    <w:rPr>
      <w:rFonts w:cs="Symbol"/>
    </w:rPr>
  </w:style>
  <w:style w:type="character" w:styleId="ListLabel65" w:customStyle="1">
    <w:name w:val="ListLabel 65"/>
    <w:qFormat/>
    <w:rPr>
      <w:rFonts w:cs="Courier New"/>
    </w:rPr>
  </w:style>
  <w:style w:type="character" w:styleId="ListLabel66" w:customStyle="1">
    <w:name w:val="ListLabel 66"/>
    <w:qFormat/>
    <w:rPr>
      <w:rFonts w:cs="Wingdings"/>
    </w:rPr>
  </w:style>
  <w:style w:type="character" w:styleId="ListLabel67" w:customStyle="1">
    <w:name w:val="ListLabel 67"/>
    <w:qFormat/>
    <w:rPr>
      <w:rFonts w:cs="Symbol"/>
    </w:rPr>
  </w:style>
  <w:style w:type="character" w:styleId="ListLabel68" w:customStyle="1">
    <w:name w:val="ListLabel 68"/>
    <w:qFormat/>
    <w:rPr>
      <w:rFonts w:cs="Courier New"/>
    </w:rPr>
  </w:style>
  <w:style w:type="character" w:styleId="ListLabel69" w:customStyle="1">
    <w:name w:val="ListLabel 69"/>
    <w:qFormat/>
    <w:rPr>
      <w:rFonts w:cs="Wingdings"/>
    </w:rPr>
  </w:style>
  <w:style w:type="character" w:styleId="ListLabel70" w:customStyle="1">
    <w:name w:val="ListLabel 70"/>
    <w:qFormat/>
    <w:rPr>
      <w:rFonts w:cs="Symbol"/>
    </w:rPr>
  </w:style>
  <w:style w:type="character" w:styleId="ListLabel71" w:customStyle="1">
    <w:name w:val="ListLabel 71"/>
    <w:qFormat/>
    <w:rPr>
      <w:rFonts w:cs="Courier New"/>
    </w:rPr>
  </w:style>
  <w:style w:type="character" w:styleId="ListLabel72" w:customStyle="1">
    <w:name w:val="ListLabel 72"/>
    <w:qFormat/>
    <w:rPr>
      <w:rFonts w:cs="Wingdings"/>
    </w:rPr>
  </w:style>
  <w:style w:type="character" w:styleId="ListLabel73" w:customStyle="1">
    <w:name w:val="ListLabel 73"/>
    <w:qFormat/>
    <w:rPr>
      <w:rFonts w:cs="Calibri"/>
    </w:rPr>
  </w:style>
  <w:style w:type="character" w:styleId="ListLabel74" w:customStyle="1">
    <w:name w:val="ListLabel 74"/>
    <w:qFormat/>
    <w:rPr>
      <w:rFonts w:cs="Courier New"/>
    </w:rPr>
  </w:style>
  <w:style w:type="character" w:styleId="ListLabel75" w:customStyle="1">
    <w:name w:val="ListLabel 75"/>
    <w:qFormat/>
    <w:rPr>
      <w:rFonts w:cs="Wingdings"/>
    </w:rPr>
  </w:style>
  <w:style w:type="character" w:styleId="ListLabel76" w:customStyle="1">
    <w:name w:val="ListLabel 76"/>
    <w:qFormat/>
    <w:rPr>
      <w:rFonts w:cs="Symbol"/>
    </w:rPr>
  </w:style>
  <w:style w:type="character" w:styleId="ListLabel77" w:customStyle="1">
    <w:name w:val="ListLabel 77"/>
    <w:qFormat/>
    <w:rPr>
      <w:rFonts w:cs="Courier New"/>
    </w:rPr>
  </w:style>
  <w:style w:type="character" w:styleId="ListLabel78" w:customStyle="1">
    <w:name w:val="ListLabel 78"/>
    <w:qFormat/>
    <w:rPr>
      <w:rFonts w:cs="Wingdings"/>
    </w:rPr>
  </w:style>
  <w:style w:type="character" w:styleId="ListLabel79" w:customStyle="1">
    <w:name w:val="ListLabel 79"/>
    <w:qFormat/>
    <w:rPr>
      <w:rFonts w:cs="Symbol"/>
    </w:rPr>
  </w:style>
  <w:style w:type="character" w:styleId="ListLabel80" w:customStyle="1">
    <w:name w:val="ListLabel 80"/>
    <w:qFormat/>
    <w:rPr>
      <w:rFonts w:cs="Courier New"/>
    </w:rPr>
  </w:style>
  <w:style w:type="character" w:styleId="ListLabel81" w:customStyle="1">
    <w:name w:val="ListLabel 81"/>
    <w:qFormat/>
    <w:rPr>
      <w:rFonts w:cs="Wingdings"/>
    </w:rPr>
  </w:style>
  <w:style w:type="character" w:styleId="ListLabel82" w:customStyle="1">
    <w:name w:val="ListLabel 82"/>
    <w:qFormat/>
    <w:rPr>
      <w:rFonts w:cs="Symbol"/>
    </w:rPr>
  </w:style>
  <w:style w:type="character" w:styleId="ListLabel83" w:customStyle="1">
    <w:name w:val="ListLabel 83"/>
    <w:qFormat/>
    <w:rPr>
      <w:rFonts w:cs="Courier New"/>
    </w:rPr>
  </w:style>
  <w:style w:type="character" w:styleId="ListLabel84" w:customStyle="1">
    <w:name w:val="ListLabel 84"/>
    <w:qFormat/>
    <w:rPr>
      <w:rFonts w:cs="Wingdings"/>
    </w:rPr>
  </w:style>
  <w:style w:type="character" w:styleId="ListLabel85" w:customStyle="1">
    <w:name w:val="ListLabel 85"/>
    <w:qFormat/>
    <w:rPr>
      <w:rFonts w:cs="Symbol"/>
    </w:rPr>
  </w:style>
  <w:style w:type="character" w:styleId="ListLabel86" w:customStyle="1">
    <w:name w:val="ListLabel 86"/>
    <w:qFormat/>
    <w:rPr>
      <w:rFonts w:cs="Courier New"/>
    </w:rPr>
  </w:style>
  <w:style w:type="character" w:styleId="ListLabel87" w:customStyle="1">
    <w:name w:val="ListLabel 87"/>
    <w:qFormat/>
    <w:rPr>
      <w:rFonts w:cs="Wingdings"/>
    </w:rPr>
  </w:style>
  <w:style w:type="character" w:styleId="ListLabel88" w:customStyle="1">
    <w:name w:val="ListLabel 88"/>
    <w:qFormat/>
    <w:rPr>
      <w:rFonts w:cs="Symbol"/>
    </w:rPr>
  </w:style>
  <w:style w:type="character" w:styleId="ListLabel89" w:customStyle="1">
    <w:name w:val="ListLabel 89"/>
    <w:qFormat/>
    <w:rPr>
      <w:rFonts w:cs="Courier New"/>
    </w:rPr>
  </w:style>
  <w:style w:type="character" w:styleId="ListLabel90" w:customStyle="1">
    <w:name w:val="ListLabel 90"/>
    <w:qFormat/>
    <w:rPr>
      <w:rFonts w:cs="Wingdings"/>
    </w:rPr>
  </w:style>
  <w:style w:type="character" w:styleId="ListLabel91" w:customStyle="1">
    <w:name w:val="ListLabel 91"/>
    <w:qFormat/>
    <w:rPr>
      <w:rFonts w:cs="Calibri"/>
    </w:rPr>
  </w:style>
  <w:style w:type="character" w:styleId="ListLabel92" w:customStyle="1">
    <w:name w:val="ListLabel 92"/>
    <w:qFormat/>
    <w:rPr>
      <w:rFonts w:cs="Courier New"/>
    </w:rPr>
  </w:style>
  <w:style w:type="character" w:styleId="ListLabel93" w:customStyle="1">
    <w:name w:val="ListLabel 93"/>
    <w:qFormat/>
    <w:rPr>
      <w:rFonts w:cs="Wingdings"/>
    </w:rPr>
  </w:style>
  <w:style w:type="character" w:styleId="ListLabel94" w:customStyle="1">
    <w:name w:val="ListLabel 94"/>
    <w:qFormat/>
    <w:rPr>
      <w:rFonts w:cs="Symbol"/>
    </w:rPr>
  </w:style>
  <w:style w:type="character" w:styleId="ListLabel95" w:customStyle="1">
    <w:name w:val="ListLabel 95"/>
    <w:qFormat/>
    <w:rPr>
      <w:rFonts w:cs="Courier New"/>
    </w:rPr>
  </w:style>
  <w:style w:type="character" w:styleId="ListLabel96" w:customStyle="1">
    <w:name w:val="ListLabel 96"/>
    <w:qFormat/>
    <w:rPr>
      <w:rFonts w:cs="Wingdings"/>
    </w:rPr>
  </w:style>
  <w:style w:type="character" w:styleId="ListLabel97" w:customStyle="1">
    <w:name w:val="ListLabel 97"/>
    <w:qFormat/>
    <w:rPr>
      <w:rFonts w:cs="Symbol"/>
    </w:rPr>
  </w:style>
  <w:style w:type="character" w:styleId="ListLabel98" w:customStyle="1">
    <w:name w:val="ListLabel 98"/>
    <w:qFormat/>
    <w:rPr>
      <w:rFonts w:cs="Courier New"/>
    </w:rPr>
  </w:style>
  <w:style w:type="character" w:styleId="ListLabel99" w:customStyle="1">
    <w:name w:val="ListLabel 99"/>
    <w:qFormat/>
    <w:rPr>
      <w:rFonts w:cs="Wingdings"/>
    </w:rPr>
  </w:style>
  <w:style w:type="character" w:styleId="ListLabel100" w:customStyle="1">
    <w:name w:val="ListLabel 100"/>
    <w:qFormat/>
    <w:rPr>
      <w:rFonts w:cs="Symbol"/>
    </w:rPr>
  </w:style>
  <w:style w:type="character" w:styleId="ListLabel101" w:customStyle="1">
    <w:name w:val="ListLabel 101"/>
    <w:qFormat/>
    <w:rPr>
      <w:rFonts w:cs="Courier New"/>
    </w:rPr>
  </w:style>
  <w:style w:type="character" w:styleId="ListLabel102" w:customStyle="1">
    <w:name w:val="ListLabel 102"/>
    <w:qFormat/>
    <w:rPr>
      <w:rFonts w:cs="Wingdings"/>
    </w:rPr>
  </w:style>
  <w:style w:type="character" w:styleId="ListLabel103" w:customStyle="1">
    <w:name w:val="ListLabel 103"/>
    <w:qFormat/>
    <w:rPr>
      <w:rFonts w:cs="Symbol"/>
    </w:rPr>
  </w:style>
  <w:style w:type="character" w:styleId="ListLabel104" w:customStyle="1">
    <w:name w:val="ListLabel 104"/>
    <w:qFormat/>
    <w:rPr>
      <w:rFonts w:cs="Courier New"/>
    </w:rPr>
  </w:style>
  <w:style w:type="character" w:styleId="ListLabel105" w:customStyle="1">
    <w:name w:val="ListLabel 105"/>
    <w:qFormat/>
    <w:rPr>
      <w:rFonts w:cs="Wingdings"/>
    </w:rPr>
  </w:style>
  <w:style w:type="character" w:styleId="ListLabel106" w:customStyle="1">
    <w:name w:val="ListLabel 106"/>
    <w:qFormat/>
    <w:rPr>
      <w:rFonts w:cs="Symbol"/>
    </w:rPr>
  </w:style>
  <w:style w:type="character" w:styleId="ListLabel107" w:customStyle="1">
    <w:name w:val="ListLabel 107"/>
    <w:qFormat/>
    <w:rPr>
      <w:rFonts w:cs="Courier New"/>
    </w:rPr>
  </w:style>
  <w:style w:type="character" w:styleId="ListLabel108" w:customStyle="1">
    <w:name w:val="ListLabel 108"/>
    <w:qFormat/>
    <w:rPr>
      <w:rFonts w:cs="Wingdings"/>
    </w:rPr>
  </w:style>
  <w:style w:type="character" w:styleId="ListLabel109" w:customStyle="1">
    <w:name w:val="ListLabel 109"/>
    <w:qFormat/>
    <w:rPr>
      <w:rFonts w:cs="Calibri"/>
    </w:rPr>
  </w:style>
  <w:style w:type="character" w:styleId="ListLabel110" w:customStyle="1">
    <w:name w:val="ListLabel 110"/>
    <w:qFormat/>
    <w:rPr>
      <w:rFonts w:cs="Courier New"/>
    </w:rPr>
  </w:style>
  <w:style w:type="character" w:styleId="ListLabel111" w:customStyle="1">
    <w:name w:val="ListLabel 111"/>
    <w:qFormat/>
    <w:rPr>
      <w:rFonts w:cs="Wingdings"/>
    </w:rPr>
  </w:style>
  <w:style w:type="character" w:styleId="ListLabel112" w:customStyle="1">
    <w:name w:val="ListLabel 112"/>
    <w:qFormat/>
    <w:rPr>
      <w:rFonts w:cs="Symbol"/>
    </w:rPr>
  </w:style>
  <w:style w:type="character" w:styleId="ListLabel113" w:customStyle="1">
    <w:name w:val="ListLabel 113"/>
    <w:qFormat/>
    <w:rPr>
      <w:rFonts w:cs="Courier New"/>
    </w:rPr>
  </w:style>
  <w:style w:type="character" w:styleId="ListLabel114" w:customStyle="1">
    <w:name w:val="ListLabel 114"/>
    <w:qFormat/>
    <w:rPr>
      <w:rFonts w:cs="Wingdings"/>
    </w:rPr>
  </w:style>
  <w:style w:type="character" w:styleId="ListLabel115" w:customStyle="1">
    <w:name w:val="ListLabel 115"/>
    <w:qFormat/>
    <w:rPr>
      <w:rFonts w:cs="Symbol"/>
    </w:rPr>
  </w:style>
  <w:style w:type="character" w:styleId="ListLabel116" w:customStyle="1">
    <w:name w:val="ListLabel 116"/>
    <w:qFormat/>
    <w:rPr>
      <w:rFonts w:cs="Courier New"/>
    </w:rPr>
  </w:style>
  <w:style w:type="character" w:styleId="ListLabel117" w:customStyle="1">
    <w:name w:val="ListLabel 117"/>
    <w:qFormat/>
    <w:rPr>
      <w:rFonts w:cs="Wingdings"/>
    </w:rPr>
  </w:style>
  <w:style w:type="character" w:styleId="ListLabel118" w:customStyle="1">
    <w:name w:val="ListLabel 118"/>
    <w:qFormat/>
    <w:rPr>
      <w:rFonts w:cs="Symbol"/>
    </w:rPr>
  </w:style>
  <w:style w:type="character" w:styleId="ListLabel119" w:customStyle="1">
    <w:name w:val="ListLabel 119"/>
    <w:qFormat/>
    <w:rPr>
      <w:rFonts w:cs="Courier New"/>
    </w:rPr>
  </w:style>
  <w:style w:type="character" w:styleId="ListLabel120" w:customStyle="1">
    <w:name w:val="ListLabel 120"/>
    <w:qFormat/>
    <w:rPr>
      <w:rFonts w:cs="Wingdings"/>
    </w:rPr>
  </w:style>
  <w:style w:type="character" w:styleId="ListLabel121" w:customStyle="1">
    <w:name w:val="ListLabel 121"/>
    <w:qFormat/>
    <w:rPr>
      <w:rFonts w:cs="Symbol"/>
    </w:rPr>
  </w:style>
  <w:style w:type="character" w:styleId="ListLabel122" w:customStyle="1">
    <w:name w:val="ListLabel 122"/>
    <w:qFormat/>
    <w:rPr>
      <w:rFonts w:cs="Courier New"/>
    </w:rPr>
  </w:style>
  <w:style w:type="character" w:styleId="ListLabel123" w:customStyle="1">
    <w:name w:val="ListLabel 123"/>
    <w:qFormat/>
    <w:rPr>
      <w:rFonts w:cs="Wingdings"/>
    </w:rPr>
  </w:style>
  <w:style w:type="character" w:styleId="ListLabel124" w:customStyle="1">
    <w:name w:val="ListLabel 124"/>
    <w:qFormat/>
    <w:rPr>
      <w:rFonts w:cs="Symbol"/>
    </w:rPr>
  </w:style>
  <w:style w:type="character" w:styleId="ListLabel125" w:customStyle="1">
    <w:name w:val="ListLabel 125"/>
    <w:qFormat/>
    <w:rPr>
      <w:rFonts w:cs="Courier New"/>
    </w:rPr>
  </w:style>
  <w:style w:type="character" w:styleId="ListLabel126" w:customStyle="1">
    <w:name w:val="ListLabel 126"/>
    <w:qFormat/>
    <w:rPr>
      <w:rFonts w:cs="Wingdings"/>
    </w:rPr>
  </w:style>
  <w:style w:type="character" w:styleId="ListLabel127">
    <w:name w:val="ListLabel 127"/>
    <w:qFormat/>
    <w:rPr>
      <w:rFonts w:cs="Calibri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Symbol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cs="Symbol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paragraph" w:styleId="Nadpis" w:customStyle="1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e50b04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5e6fa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LibreOffice/5.3.3.2$Windows_X86_64 LibreOffice_project/3d9a8b4b4e538a85e0782bd6c2d430bafe583448</Application>
  <Pages>1</Pages>
  <Words>387</Words>
  <Characters>2346</Characters>
  <CharactersWithSpaces>2722</CharactersWithSpaces>
  <Paragraphs>23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2022-04-21T09:39:00Z</dcterms:created>
  <dc:creator>Radka</dc:creator>
  <dc:description/>
  <dc:language>cs-CZ</dc:language>
  <cp:lastModifiedBy/>
  <dcterms:modified xsi:type="dcterms:W3CDTF">2022-04-21T12:47:15Z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